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14D5" w14:textId="77777777" w:rsidR="00371200" w:rsidRDefault="00371200" w:rsidP="00371200">
      <w:pPr>
        <w:jc w:val="right"/>
        <w:rPr>
          <w:rFonts w:ascii="Arial Narrow" w:hAnsi="Arial Narrow"/>
          <w:sz w:val="32"/>
          <w:szCs w:val="28"/>
          <w:u w:val="single"/>
        </w:rPr>
      </w:pPr>
      <w:r>
        <w:rPr>
          <w:noProof/>
          <w:lang w:eastAsia="es-ES"/>
        </w:rPr>
        <w:drawing>
          <wp:inline distT="0" distB="0" distL="0" distR="0" wp14:anchorId="23960BB1" wp14:editId="48319AFD">
            <wp:extent cx="349250" cy="349250"/>
            <wp:effectExtent l="0" t="0" r="0" b="0"/>
            <wp:docPr id="18" name="Imagen 18" descr="Imagen que contiene objeto, dibujo&#10;&#10;Descripción generada automá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que contiene objeto, dibujo&#10;&#10;Descripción generada automáticamente">
                      <a:hlinkClick r:id="rId7"/>
                    </pic:cNvPr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81" cy="35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3B4BC83C" wp14:editId="6505F94C">
            <wp:extent cx="351692" cy="351692"/>
            <wp:effectExtent l="0" t="0" r="0" b="0"/>
            <wp:docPr id="14" name="Imagen 14" descr="Imagen que contiene dibujo&#10;&#10;Descripción generada automá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dibujo&#10;&#10;Descripción generada automáticamente">
                      <a:hlinkClick r:id="rId10"/>
                    </pic:cNvPr>
                    <pic:cNvPicPr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896" cy="36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9432097" wp14:editId="174E9C05">
            <wp:extent cx="355600" cy="355600"/>
            <wp:effectExtent l="0" t="0" r="6350" b="6350"/>
            <wp:docPr id="15" name="Imagen 15" descr="Imagen que contiene dibujo&#10;&#10;Descripción generada automá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bujo&#10;&#10;Descripción generada automáticamente">
                      <a:hlinkClick r:id="rId12"/>
                    </pic:cNvPr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8" cy="38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4BC33CF" wp14:editId="7D0FE65E">
            <wp:extent cx="349250" cy="349250"/>
            <wp:effectExtent l="0" t="0" r="0" b="0"/>
            <wp:docPr id="17" name="Imagen 17" descr="Imagen que contiene rueda&#10;&#10;Descripción generada automá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rueda&#10;&#10;Descripción generada automáticamente">
                      <a:hlinkClick r:id="rId14"/>
                    </pic:cNvPr>
                    <pic:cNvPicPr/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13" cy="36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079F6FFA" wp14:editId="66059284">
            <wp:extent cx="345989" cy="345989"/>
            <wp:effectExtent l="0" t="0" r="0" b="0"/>
            <wp:docPr id="19" name="Imagen 19" descr="Imagen que contiene dibuj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dibujo&#10;&#10;Descripción generada automáticamente">
                      <a:hlinkClick r:id="rId16"/>
                    </pic:cNvPr>
                    <pic:cNvPicPr/>
                  </pic:nvPicPr>
                  <pic:blipFill>
                    <a:blip r:embed="rId1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60" cy="3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CDDA2" w14:textId="1EB88746" w:rsidR="00E029BF" w:rsidRDefault="00B77942" w:rsidP="00B77942">
      <w:pPr>
        <w:jc w:val="center"/>
        <w:rPr>
          <w:rFonts w:ascii="Arial Narrow" w:hAnsi="Arial Narrow"/>
          <w:b/>
          <w:sz w:val="48"/>
        </w:rPr>
      </w:pPr>
      <w:r>
        <w:rPr>
          <w:rFonts w:ascii="Arial Narrow" w:hAnsi="Arial Narrow"/>
          <w:sz w:val="32"/>
          <w:szCs w:val="28"/>
          <w:u w:val="single"/>
        </w:rPr>
        <w:t>Consejo de Administración</w:t>
      </w:r>
    </w:p>
    <w:p w14:paraId="2D041B97" w14:textId="282A49B2" w:rsidR="003D3EB7" w:rsidRPr="004338BD" w:rsidRDefault="00B72530" w:rsidP="00F4458E">
      <w:pPr>
        <w:jc w:val="both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>La</w:t>
      </w:r>
      <w:r w:rsidR="003D3EB7">
        <w:rPr>
          <w:rFonts w:ascii="Arial Narrow" w:hAnsi="Arial Narrow"/>
          <w:b/>
          <w:sz w:val="48"/>
        </w:rPr>
        <w:t xml:space="preserve"> Autoridad Portuaria de Alicante </w:t>
      </w:r>
      <w:r w:rsidR="00B77942">
        <w:rPr>
          <w:rFonts w:ascii="Arial Narrow" w:hAnsi="Arial Narrow"/>
          <w:b/>
          <w:sz w:val="48"/>
        </w:rPr>
        <w:t xml:space="preserve">da luz verde para la </w:t>
      </w:r>
      <w:r w:rsidR="006B1F2D" w:rsidRPr="006B1F2D">
        <w:rPr>
          <w:rFonts w:ascii="Arial Narrow" w:hAnsi="Arial Narrow"/>
          <w:b/>
          <w:sz w:val="48"/>
        </w:rPr>
        <w:t xml:space="preserve">desafectación de la Playa de San Gabriel </w:t>
      </w:r>
    </w:p>
    <w:p w14:paraId="230A884D" w14:textId="744A64B2" w:rsidR="00622DF3" w:rsidRDefault="00BC4EA1" w:rsidP="00F76F10">
      <w:pPr>
        <w:pStyle w:val="Prrafodelista"/>
        <w:numPr>
          <w:ilvl w:val="0"/>
          <w:numId w:val="3"/>
        </w:numPr>
        <w:spacing w:before="200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La superficie que corresponde a la playa es de </w:t>
      </w:r>
      <w:r w:rsidR="005230C6">
        <w:rPr>
          <w:rFonts w:ascii="Arial Narrow" w:hAnsi="Arial Narrow"/>
          <w:b/>
          <w:sz w:val="32"/>
          <w:szCs w:val="32"/>
        </w:rPr>
        <w:t xml:space="preserve">17.199 </w:t>
      </w:r>
      <w:r w:rsidR="00B77942">
        <w:rPr>
          <w:rFonts w:ascii="Arial Narrow" w:hAnsi="Arial Narrow"/>
          <w:b/>
          <w:sz w:val="32"/>
          <w:szCs w:val="32"/>
        </w:rPr>
        <w:t>m</w:t>
      </w:r>
      <w:r w:rsidR="00B77942">
        <w:rPr>
          <w:rFonts w:ascii="Arial Narrow" w:hAnsi="Arial Narrow"/>
          <w:b/>
          <w:sz w:val="32"/>
          <w:szCs w:val="32"/>
          <w:vertAlign w:val="superscript"/>
        </w:rPr>
        <w:t>2</w:t>
      </w:r>
      <w:r w:rsidR="005230C6">
        <w:rPr>
          <w:rFonts w:ascii="Arial Narrow" w:hAnsi="Arial Narrow"/>
          <w:b/>
          <w:sz w:val="32"/>
          <w:szCs w:val="32"/>
        </w:rPr>
        <w:t xml:space="preserve"> </w:t>
      </w:r>
      <w:r w:rsidR="00CA10E0">
        <w:rPr>
          <w:rFonts w:ascii="Arial Narrow" w:hAnsi="Arial Narrow"/>
          <w:b/>
          <w:sz w:val="32"/>
          <w:szCs w:val="32"/>
        </w:rPr>
        <w:t>de terrenos de tierra,</w:t>
      </w:r>
      <w:r w:rsidR="005230C6">
        <w:rPr>
          <w:rFonts w:ascii="Arial Narrow" w:hAnsi="Arial Narrow"/>
          <w:b/>
          <w:sz w:val="32"/>
          <w:szCs w:val="32"/>
        </w:rPr>
        <w:t xml:space="preserve"> y </w:t>
      </w:r>
      <w:r w:rsidR="00B77942">
        <w:rPr>
          <w:rFonts w:ascii="Arial Narrow" w:hAnsi="Arial Narrow"/>
          <w:b/>
          <w:sz w:val="32"/>
          <w:szCs w:val="32"/>
        </w:rPr>
        <w:t>unos 60.000 m</w:t>
      </w:r>
      <w:r w:rsidR="00B77942">
        <w:rPr>
          <w:rFonts w:ascii="Arial Narrow" w:hAnsi="Arial Narrow"/>
          <w:b/>
          <w:sz w:val="32"/>
          <w:szCs w:val="32"/>
          <w:vertAlign w:val="superscript"/>
        </w:rPr>
        <w:t>2</w:t>
      </w:r>
      <w:r w:rsidR="00B72530">
        <w:rPr>
          <w:rFonts w:ascii="Arial Narrow" w:hAnsi="Arial Narrow"/>
          <w:b/>
          <w:sz w:val="32"/>
          <w:szCs w:val="32"/>
        </w:rPr>
        <w:t xml:space="preserve"> </w:t>
      </w:r>
      <w:r w:rsidR="00CA10E0">
        <w:rPr>
          <w:rFonts w:ascii="Arial Narrow" w:hAnsi="Arial Narrow"/>
          <w:b/>
          <w:sz w:val="32"/>
          <w:szCs w:val="32"/>
        </w:rPr>
        <w:t xml:space="preserve">de </w:t>
      </w:r>
      <w:r w:rsidR="005230C6">
        <w:rPr>
          <w:rFonts w:ascii="Arial Narrow" w:hAnsi="Arial Narrow"/>
          <w:b/>
          <w:sz w:val="32"/>
          <w:szCs w:val="32"/>
        </w:rPr>
        <w:t>agua</w:t>
      </w:r>
      <w:r w:rsidR="00B77942">
        <w:rPr>
          <w:rFonts w:ascii="Arial Narrow" w:hAnsi="Arial Narrow"/>
          <w:b/>
          <w:sz w:val="32"/>
          <w:szCs w:val="32"/>
        </w:rPr>
        <w:t>.</w:t>
      </w:r>
    </w:p>
    <w:p w14:paraId="263B59FD" w14:textId="77777777" w:rsidR="00622DF3" w:rsidRPr="00622DF3" w:rsidRDefault="00622DF3" w:rsidP="00622DF3">
      <w:pPr>
        <w:pStyle w:val="Prrafodelista"/>
        <w:spacing w:before="200"/>
        <w:ind w:left="435"/>
        <w:jc w:val="both"/>
        <w:rPr>
          <w:rFonts w:ascii="Arial Narrow" w:hAnsi="Arial Narrow"/>
          <w:b/>
          <w:sz w:val="32"/>
          <w:szCs w:val="32"/>
        </w:rPr>
      </w:pPr>
    </w:p>
    <w:p w14:paraId="100C044B" w14:textId="27C484F0" w:rsidR="00622DF3" w:rsidRPr="00622DF3" w:rsidRDefault="005564CC" w:rsidP="00622DF3">
      <w:pPr>
        <w:pStyle w:val="Prrafodelista"/>
        <w:numPr>
          <w:ilvl w:val="0"/>
          <w:numId w:val="3"/>
        </w:numPr>
        <w:spacing w:before="200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Es el último trámite necesario para la </w:t>
      </w:r>
      <w:r w:rsidR="00B77942">
        <w:rPr>
          <w:rFonts w:ascii="Arial Narrow" w:hAnsi="Arial Narrow"/>
          <w:b/>
          <w:sz w:val="32"/>
          <w:szCs w:val="32"/>
        </w:rPr>
        <w:t>aprobación definitiva</w:t>
      </w:r>
      <w:r w:rsidR="0010567E">
        <w:rPr>
          <w:rFonts w:ascii="Arial Narrow" w:hAnsi="Arial Narrow"/>
          <w:b/>
          <w:sz w:val="32"/>
          <w:szCs w:val="32"/>
        </w:rPr>
        <w:t xml:space="preserve"> de la</w:t>
      </w:r>
      <w:r w:rsidR="00B77942">
        <w:rPr>
          <w:rFonts w:ascii="Arial Narrow" w:hAnsi="Arial Narrow"/>
          <w:b/>
          <w:sz w:val="32"/>
          <w:szCs w:val="32"/>
        </w:rPr>
        <w:t xml:space="preserve"> nueva</w:t>
      </w:r>
      <w:r w:rsidR="0010567E">
        <w:rPr>
          <w:rFonts w:ascii="Arial Narrow" w:hAnsi="Arial Narrow"/>
          <w:b/>
          <w:sz w:val="32"/>
          <w:szCs w:val="32"/>
        </w:rPr>
        <w:t xml:space="preserve"> DEUP</w:t>
      </w:r>
      <w:r>
        <w:rPr>
          <w:rFonts w:ascii="Arial Narrow" w:hAnsi="Arial Narrow"/>
          <w:b/>
          <w:sz w:val="32"/>
          <w:szCs w:val="32"/>
        </w:rPr>
        <w:t xml:space="preserve"> por parte </w:t>
      </w:r>
      <w:r w:rsidR="00F33FC9">
        <w:rPr>
          <w:rFonts w:ascii="Arial Narrow" w:hAnsi="Arial Narrow"/>
          <w:b/>
          <w:sz w:val="32"/>
          <w:szCs w:val="32"/>
        </w:rPr>
        <w:t xml:space="preserve">del Ministerio </w:t>
      </w:r>
      <w:r w:rsidR="00B77942">
        <w:rPr>
          <w:rFonts w:ascii="Arial Narrow" w:hAnsi="Arial Narrow"/>
          <w:b/>
          <w:sz w:val="32"/>
          <w:szCs w:val="32"/>
        </w:rPr>
        <w:t>de Transportes y Movilidad Sostenible</w:t>
      </w:r>
    </w:p>
    <w:p w14:paraId="03DD8AF6" w14:textId="17487E69" w:rsidR="00622DF3" w:rsidRPr="00622DF3" w:rsidRDefault="00622DF3" w:rsidP="00622DF3">
      <w:pPr>
        <w:pStyle w:val="Prrafodelista"/>
        <w:ind w:left="435"/>
        <w:jc w:val="both"/>
        <w:rPr>
          <w:rFonts w:ascii="Arial Narrow" w:hAnsi="Arial Narrow"/>
          <w:sz w:val="28"/>
          <w:szCs w:val="28"/>
          <w:u w:val="single"/>
        </w:rPr>
      </w:pPr>
    </w:p>
    <w:p w14:paraId="4881B703" w14:textId="665E776A" w:rsidR="00B77942" w:rsidRDefault="001E4AEB" w:rsidP="00F33FC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 xml:space="preserve">Alicante – </w:t>
      </w:r>
      <w:r w:rsidR="00862C25">
        <w:rPr>
          <w:rFonts w:ascii="Arial Narrow" w:hAnsi="Arial Narrow"/>
          <w:sz w:val="28"/>
          <w:szCs w:val="28"/>
          <w:u w:val="single"/>
        </w:rPr>
        <w:t>0</w:t>
      </w:r>
      <w:r w:rsidR="00622DF3">
        <w:rPr>
          <w:rFonts w:ascii="Arial Narrow" w:hAnsi="Arial Narrow"/>
          <w:sz w:val="28"/>
          <w:szCs w:val="28"/>
          <w:u w:val="single"/>
        </w:rPr>
        <w:t>7</w:t>
      </w:r>
      <w:r w:rsidR="00E876FB">
        <w:rPr>
          <w:rFonts w:ascii="Arial Narrow" w:hAnsi="Arial Narrow"/>
          <w:sz w:val="28"/>
          <w:szCs w:val="28"/>
          <w:u w:val="single"/>
        </w:rPr>
        <w:t>/</w:t>
      </w:r>
      <w:r w:rsidR="00622DF3">
        <w:rPr>
          <w:rFonts w:ascii="Arial Narrow" w:hAnsi="Arial Narrow"/>
          <w:sz w:val="28"/>
          <w:szCs w:val="28"/>
          <w:u w:val="single"/>
        </w:rPr>
        <w:t>febrero</w:t>
      </w:r>
      <w:r w:rsidR="00E876FB">
        <w:rPr>
          <w:rFonts w:ascii="Arial Narrow" w:hAnsi="Arial Narrow"/>
          <w:sz w:val="28"/>
          <w:szCs w:val="28"/>
          <w:u w:val="single"/>
        </w:rPr>
        <w:t>/202</w:t>
      </w:r>
      <w:r w:rsidR="00862C25">
        <w:rPr>
          <w:rFonts w:ascii="Arial Narrow" w:hAnsi="Arial Narrow"/>
          <w:sz w:val="28"/>
          <w:szCs w:val="28"/>
          <w:u w:val="single"/>
        </w:rPr>
        <w:t>5</w:t>
      </w:r>
      <w:r>
        <w:rPr>
          <w:rFonts w:ascii="Arial Narrow" w:hAnsi="Arial Narrow"/>
          <w:sz w:val="28"/>
          <w:szCs w:val="28"/>
          <w:u w:val="single"/>
        </w:rPr>
        <w:t>.-</w:t>
      </w:r>
      <w:r>
        <w:rPr>
          <w:rFonts w:ascii="Arial Narrow" w:hAnsi="Arial Narrow"/>
          <w:sz w:val="28"/>
          <w:szCs w:val="28"/>
        </w:rPr>
        <w:t xml:space="preserve"> </w:t>
      </w:r>
      <w:r w:rsidR="00B77942">
        <w:rPr>
          <w:rFonts w:ascii="Arial Narrow" w:hAnsi="Arial Narrow"/>
          <w:sz w:val="28"/>
          <w:szCs w:val="28"/>
        </w:rPr>
        <w:t xml:space="preserve">La playa de San Gabriel con su zona de baño, unos 200 metros desde la costa, pasarán a depender de la Dirección General de la Costa y el Mar a la finalización de </w:t>
      </w:r>
      <w:r w:rsidR="005A4A19">
        <w:rPr>
          <w:rFonts w:ascii="Arial Narrow" w:hAnsi="Arial Narrow"/>
          <w:sz w:val="28"/>
          <w:szCs w:val="28"/>
        </w:rPr>
        <w:t>todo el</w:t>
      </w:r>
      <w:r w:rsidR="00B77942">
        <w:rPr>
          <w:rFonts w:ascii="Arial Narrow" w:hAnsi="Arial Narrow"/>
          <w:sz w:val="28"/>
          <w:szCs w:val="28"/>
        </w:rPr>
        <w:t xml:space="preserve"> procedimiento.</w:t>
      </w:r>
    </w:p>
    <w:p w14:paraId="3BC3BA94" w14:textId="77777777" w:rsidR="00B77942" w:rsidRDefault="00B77942" w:rsidP="00B7794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Así lo ha aprobado el Consejo de Administración de la Autoridad Portuaria en una sesión extraordinaria celebrada hoy, 7 de febrero, con este único punto a tratar.</w:t>
      </w:r>
    </w:p>
    <w:p w14:paraId="5B069694" w14:textId="1B8ABA11" w:rsidR="00B77942" w:rsidRDefault="00B77942" w:rsidP="00B7794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Los bienes de dominio público que el Consejo de Administración ha</w:t>
      </w:r>
      <w:r w:rsidR="005A4A1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declarado como innecesarios</w:t>
      </w:r>
      <w:r w:rsidR="005A4A1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para la Autoridad Portuaria de Alicante</w:t>
      </w:r>
      <w:r w:rsidR="005A4A1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ocupan una superficie de más de 17.199 metros cuadrados de tierra y </w:t>
      </w:r>
      <w:r w:rsidR="005A4A19">
        <w:rPr>
          <w:rFonts w:ascii="Arial Narrow" w:hAnsi="Arial Narrow"/>
          <w:sz w:val="28"/>
          <w:szCs w:val="28"/>
        </w:rPr>
        <w:t>60.000</w:t>
      </w:r>
      <w:r>
        <w:rPr>
          <w:rFonts w:ascii="Arial Narrow" w:hAnsi="Arial Narrow"/>
          <w:sz w:val="28"/>
          <w:szCs w:val="28"/>
        </w:rPr>
        <w:t xml:space="preserve"> metros cuadrados de agua</w:t>
      </w:r>
      <w:r w:rsidR="005A4A19">
        <w:rPr>
          <w:rFonts w:ascii="Arial Narrow" w:hAnsi="Arial Narrow"/>
          <w:sz w:val="28"/>
          <w:szCs w:val="28"/>
        </w:rPr>
        <w:t>.</w:t>
      </w:r>
    </w:p>
    <w:p w14:paraId="5828F6AE" w14:textId="425A09F0" w:rsidR="00B77942" w:rsidRDefault="00B77942" w:rsidP="00B7794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Tras las negociaciones entre la Dirección General de la Costa y el Mar, y la Autoridad Portuaria de Alicante, se ha llegado a un consenso para proceder a la desafectación en beneficio de la ciudadanía de la zona del arenal que ha dado lugar a la Playa de San Gabriel.</w:t>
      </w:r>
      <w:r w:rsidR="005A4A19">
        <w:rPr>
          <w:rFonts w:ascii="Arial Narrow" w:hAnsi="Arial Narrow"/>
          <w:sz w:val="28"/>
          <w:szCs w:val="28"/>
        </w:rPr>
        <w:t xml:space="preserve"> </w:t>
      </w:r>
      <w:r w:rsidR="00961012">
        <w:rPr>
          <w:rFonts w:ascii="Arial Narrow" w:hAnsi="Arial Narrow"/>
          <w:sz w:val="28"/>
          <w:szCs w:val="28"/>
        </w:rPr>
        <w:t xml:space="preserve">Una vez aprobado el </w:t>
      </w:r>
      <w:r w:rsidR="00961012">
        <w:rPr>
          <w:rFonts w:ascii="Arial Narrow" w:hAnsi="Arial Narrow"/>
          <w:sz w:val="28"/>
          <w:szCs w:val="28"/>
        </w:rPr>
        <w:lastRenderedPageBreak/>
        <w:t>trámite por el Consejo de Administración, el proceso queda ahora en manos del Ministerio de Transportes y Movilidad Sostenible.</w:t>
      </w:r>
    </w:p>
    <w:sectPr w:rsidR="00B77942" w:rsidSect="007A7C23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416" w:bottom="1702" w:left="2977" w:header="709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5B8F5" w14:textId="77777777" w:rsidR="00726A87" w:rsidRDefault="00726A87" w:rsidP="001E4AEB">
      <w:pPr>
        <w:spacing w:after="0" w:line="240" w:lineRule="auto"/>
      </w:pPr>
      <w:r>
        <w:separator/>
      </w:r>
    </w:p>
  </w:endnote>
  <w:endnote w:type="continuationSeparator" w:id="0">
    <w:p w14:paraId="6C1C8919" w14:textId="77777777" w:rsidR="00726A87" w:rsidRDefault="00726A87" w:rsidP="001E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</w:tblGrid>
    <w:tr w:rsidR="00F4458E" w:rsidRPr="00AF272A" w14:paraId="7C063DC2" w14:textId="77777777">
      <w:tc>
        <w:tcPr>
          <w:tcW w:w="7653" w:type="dxa"/>
        </w:tcPr>
        <w:p w14:paraId="416E8F8E" w14:textId="77777777" w:rsidR="00941684" w:rsidRPr="00A36B3B" w:rsidRDefault="00941684" w:rsidP="00941684">
          <w:pPr>
            <w:pStyle w:val="Piedepgina"/>
            <w:jc w:val="center"/>
            <w:rPr>
              <w:sz w:val="16"/>
            </w:rPr>
          </w:pPr>
          <w:r w:rsidRPr="00A36B3B">
            <w:rPr>
              <w:sz w:val="16"/>
            </w:rPr>
            <w:t>Avda. de Perfecto Palacio de la Fuente,3 , 03001 Alicante (</w:t>
          </w:r>
          <w:proofErr w:type="spellStart"/>
          <w:r w:rsidRPr="00A36B3B">
            <w:rPr>
              <w:sz w:val="16"/>
            </w:rPr>
            <w:t>Spain</w:t>
          </w:r>
          <w:proofErr w:type="spellEnd"/>
          <w:r w:rsidRPr="00A36B3B">
            <w:rPr>
              <w:sz w:val="16"/>
            </w:rPr>
            <w:t xml:space="preserve">) | T 965 130 095 | </w:t>
          </w:r>
          <w:proofErr w:type="spellStart"/>
          <w:r w:rsidRPr="00A36B3B">
            <w:rPr>
              <w:sz w:val="16"/>
            </w:rPr>
            <w:t>Mv</w:t>
          </w:r>
          <w:proofErr w:type="spellEnd"/>
          <w:r w:rsidRPr="00A36B3B">
            <w:rPr>
              <w:sz w:val="16"/>
            </w:rPr>
            <w:t xml:space="preserve"> 619 603 427</w:t>
          </w:r>
        </w:p>
        <w:p w14:paraId="2768D6D4" w14:textId="498617B9" w:rsidR="00F4458E" w:rsidRPr="00A36B3B" w:rsidRDefault="00941684" w:rsidP="00941684">
          <w:pPr>
            <w:pStyle w:val="Piedepgina"/>
            <w:jc w:val="center"/>
          </w:pPr>
          <w:hyperlink r:id="rId1" w:history="1">
            <w:r w:rsidRPr="00A36B3B">
              <w:rPr>
                <w:rStyle w:val="Hipervnculo"/>
                <w:sz w:val="16"/>
              </w:rPr>
              <w:t>comunicacion@puertoalicante.com</w:t>
            </w:r>
          </w:hyperlink>
          <w:r w:rsidRPr="00A36B3B">
            <w:rPr>
              <w:sz w:val="16"/>
            </w:rPr>
            <w:t xml:space="preserve"> | </w:t>
          </w:r>
          <w:hyperlink r:id="rId2" w:history="1">
            <w:r w:rsidRPr="00A36B3B">
              <w:rPr>
                <w:rStyle w:val="Hipervnculo"/>
                <w:sz w:val="16"/>
              </w:rPr>
              <w:t>www.puertoalicante.com</w:t>
            </w:r>
          </w:hyperlink>
        </w:p>
      </w:tc>
    </w:tr>
    <w:tr w:rsidR="00F4458E" w14:paraId="33A07B46" w14:textId="77777777">
      <w:tc>
        <w:tcPr>
          <w:tcW w:w="7653" w:type="dxa"/>
        </w:tcPr>
        <w:p w14:paraId="167C24E7" w14:textId="77777777" w:rsidR="00F4458E" w:rsidRPr="00F4458E" w:rsidRDefault="00F4458E">
          <w:pPr>
            <w:pStyle w:val="Piedepgina"/>
            <w:spacing w:before="60"/>
            <w:jc w:val="center"/>
            <w:rPr>
              <w:rFonts w:ascii="Arial Narrow" w:hAnsi="Arial Narrow"/>
              <w:b/>
            </w:rPr>
          </w:pPr>
          <w:r w:rsidRPr="00F4458E">
            <w:rPr>
              <w:rFonts w:ascii="Arial Narrow" w:hAnsi="Arial Narrow"/>
              <w:b/>
            </w:rPr>
            <w:t xml:space="preserve">Página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PAGE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E3598C">
            <w:rPr>
              <w:rFonts w:ascii="Arial Narrow" w:hAnsi="Arial Narrow"/>
              <w:b/>
              <w:noProof/>
            </w:rPr>
            <w:t>2</w:t>
          </w:r>
          <w:r w:rsidRPr="00F4458E">
            <w:rPr>
              <w:rFonts w:ascii="Arial Narrow" w:hAnsi="Arial Narrow"/>
              <w:b/>
            </w:rPr>
            <w:fldChar w:fldCharType="end"/>
          </w:r>
          <w:r w:rsidRPr="00F4458E">
            <w:rPr>
              <w:rFonts w:ascii="Arial Narrow" w:hAnsi="Arial Narrow"/>
              <w:b/>
            </w:rPr>
            <w:t xml:space="preserve"> de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NUMPAGES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E3598C">
            <w:rPr>
              <w:rFonts w:ascii="Arial Narrow" w:hAnsi="Arial Narrow"/>
              <w:b/>
              <w:noProof/>
            </w:rPr>
            <w:t>3</w:t>
          </w:r>
          <w:r w:rsidRPr="00F4458E">
            <w:rPr>
              <w:rFonts w:ascii="Arial Narrow" w:hAnsi="Arial Narrow"/>
              <w:b/>
            </w:rPr>
            <w:fldChar w:fldCharType="end"/>
          </w:r>
        </w:p>
      </w:tc>
    </w:tr>
  </w:tbl>
  <w:p w14:paraId="2EA5FF9A" w14:textId="77777777" w:rsidR="00F4458E" w:rsidRDefault="00F445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</w:tblGrid>
    <w:tr w:rsidR="00A708A8" w:rsidRPr="00AF272A" w14:paraId="12C3E73E" w14:textId="77777777" w:rsidTr="00F4458E">
      <w:tc>
        <w:tcPr>
          <w:tcW w:w="7653" w:type="dxa"/>
        </w:tcPr>
        <w:p w14:paraId="179A5031" w14:textId="0AC40126" w:rsidR="00F4458E" w:rsidRPr="00A36B3B" w:rsidRDefault="004B2073" w:rsidP="00F4458E">
          <w:pPr>
            <w:pStyle w:val="Piedepgina"/>
            <w:jc w:val="center"/>
            <w:rPr>
              <w:sz w:val="16"/>
            </w:rPr>
          </w:pPr>
          <w:r w:rsidRPr="00A36B3B">
            <w:rPr>
              <w:sz w:val="16"/>
            </w:rPr>
            <w:t xml:space="preserve">Avda. de Perfecto Palacio de la Fuente,3 </w:t>
          </w:r>
          <w:r w:rsidR="00A708A8" w:rsidRPr="00A36B3B">
            <w:rPr>
              <w:sz w:val="16"/>
            </w:rPr>
            <w:t>, 03001 Alicante (</w:t>
          </w:r>
          <w:proofErr w:type="spellStart"/>
          <w:r w:rsidR="00A708A8" w:rsidRPr="00A36B3B">
            <w:rPr>
              <w:sz w:val="16"/>
            </w:rPr>
            <w:t>Spain</w:t>
          </w:r>
          <w:proofErr w:type="spellEnd"/>
          <w:r w:rsidR="00A708A8" w:rsidRPr="00A36B3B">
            <w:rPr>
              <w:sz w:val="16"/>
            </w:rPr>
            <w:t>)</w:t>
          </w:r>
          <w:r w:rsidR="00F4458E" w:rsidRPr="00A36B3B">
            <w:rPr>
              <w:sz w:val="16"/>
            </w:rPr>
            <w:t xml:space="preserve"> |</w:t>
          </w:r>
          <w:r w:rsidR="00A708A8" w:rsidRPr="00A36B3B">
            <w:rPr>
              <w:sz w:val="16"/>
            </w:rPr>
            <w:t xml:space="preserve"> T 965 130 095</w:t>
          </w:r>
          <w:r w:rsidR="00F4458E" w:rsidRPr="00A36B3B">
            <w:rPr>
              <w:sz w:val="16"/>
            </w:rPr>
            <w:t xml:space="preserve"> |</w:t>
          </w:r>
          <w:r w:rsidR="00AF272A" w:rsidRPr="00A36B3B">
            <w:rPr>
              <w:sz w:val="16"/>
            </w:rPr>
            <w:t xml:space="preserve"> </w:t>
          </w:r>
          <w:proofErr w:type="spellStart"/>
          <w:r w:rsidR="00AF272A" w:rsidRPr="00A36B3B">
            <w:rPr>
              <w:sz w:val="16"/>
            </w:rPr>
            <w:t>Mv</w:t>
          </w:r>
          <w:proofErr w:type="spellEnd"/>
          <w:r w:rsidR="00AF272A" w:rsidRPr="00A36B3B">
            <w:rPr>
              <w:sz w:val="16"/>
            </w:rPr>
            <w:t xml:space="preserve"> 619 603 427</w:t>
          </w:r>
        </w:p>
        <w:p w14:paraId="16032C37" w14:textId="59EB6340" w:rsidR="00A708A8" w:rsidRPr="00A36B3B" w:rsidRDefault="00AF272A" w:rsidP="00F4458E">
          <w:pPr>
            <w:pStyle w:val="Piedepgina"/>
            <w:jc w:val="center"/>
          </w:pPr>
          <w:hyperlink r:id="rId1" w:history="1">
            <w:r w:rsidRPr="00A36B3B">
              <w:rPr>
                <w:rStyle w:val="Hipervnculo"/>
                <w:sz w:val="16"/>
              </w:rPr>
              <w:t>comunicacion@puertoalicante.com</w:t>
            </w:r>
          </w:hyperlink>
          <w:r w:rsidR="00F4458E" w:rsidRPr="00A36B3B">
            <w:rPr>
              <w:sz w:val="16"/>
            </w:rPr>
            <w:t xml:space="preserve"> | </w:t>
          </w:r>
          <w:hyperlink r:id="rId2" w:history="1">
            <w:r w:rsidR="00A708A8" w:rsidRPr="00A36B3B">
              <w:rPr>
                <w:rStyle w:val="Hipervnculo"/>
                <w:sz w:val="16"/>
              </w:rPr>
              <w:t>www.puertoalicante.com</w:t>
            </w:r>
          </w:hyperlink>
        </w:p>
      </w:tc>
    </w:tr>
    <w:tr w:rsidR="00A708A8" w14:paraId="6A7009CF" w14:textId="77777777" w:rsidTr="00F4458E">
      <w:tc>
        <w:tcPr>
          <w:tcW w:w="7653" w:type="dxa"/>
        </w:tcPr>
        <w:p w14:paraId="008ADDEA" w14:textId="77777777" w:rsidR="00A708A8" w:rsidRPr="00F4458E" w:rsidRDefault="00F4458E" w:rsidP="00F4458E">
          <w:pPr>
            <w:pStyle w:val="Piedepgina"/>
            <w:spacing w:before="60"/>
            <w:jc w:val="center"/>
            <w:rPr>
              <w:rFonts w:ascii="Arial Narrow" w:hAnsi="Arial Narrow"/>
              <w:b/>
            </w:rPr>
          </w:pPr>
          <w:r w:rsidRPr="00F4458E">
            <w:rPr>
              <w:rFonts w:ascii="Arial Narrow" w:hAnsi="Arial Narrow"/>
              <w:b/>
            </w:rPr>
            <w:t xml:space="preserve">Página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PAGE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8E3F04">
            <w:rPr>
              <w:rFonts w:ascii="Arial Narrow" w:hAnsi="Arial Narrow"/>
              <w:b/>
              <w:noProof/>
            </w:rPr>
            <w:t>1</w:t>
          </w:r>
          <w:r w:rsidRPr="00F4458E">
            <w:rPr>
              <w:rFonts w:ascii="Arial Narrow" w:hAnsi="Arial Narrow"/>
              <w:b/>
            </w:rPr>
            <w:fldChar w:fldCharType="end"/>
          </w:r>
          <w:r w:rsidRPr="00F4458E">
            <w:rPr>
              <w:rFonts w:ascii="Arial Narrow" w:hAnsi="Arial Narrow"/>
              <w:b/>
            </w:rPr>
            <w:t xml:space="preserve"> de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NUMPAGES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8E3F04">
            <w:rPr>
              <w:rFonts w:ascii="Arial Narrow" w:hAnsi="Arial Narrow"/>
              <w:b/>
              <w:noProof/>
            </w:rPr>
            <w:t>1</w:t>
          </w:r>
          <w:r w:rsidRPr="00F4458E">
            <w:rPr>
              <w:rFonts w:ascii="Arial Narrow" w:hAnsi="Arial Narrow"/>
              <w:b/>
            </w:rPr>
            <w:fldChar w:fldCharType="end"/>
          </w:r>
        </w:p>
      </w:tc>
    </w:tr>
  </w:tbl>
  <w:p w14:paraId="6735460E" w14:textId="77777777" w:rsidR="00C13CC0" w:rsidRDefault="00C13C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DD34" w14:textId="77777777" w:rsidR="00726A87" w:rsidRDefault="00726A87" w:rsidP="001E4AEB">
      <w:pPr>
        <w:spacing w:after="0" w:line="240" w:lineRule="auto"/>
      </w:pPr>
      <w:r>
        <w:separator/>
      </w:r>
    </w:p>
  </w:footnote>
  <w:footnote w:type="continuationSeparator" w:id="0">
    <w:p w14:paraId="3619ED64" w14:textId="77777777" w:rsidR="00726A87" w:rsidRDefault="00726A87" w:rsidP="001E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10E8" w14:textId="77777777" w:rsidR="001E4AEB" w:rsidRDefault="001E4AEB">
    <w:pPr>
      <w:pStyle w:val="Encabezado"/>
    </w:pPr>
  </w:p>
  <w:p w14:paraId="47268CB1" w14:textId="77777777" w:rsidR="001E4AEB" w:rsidRDefault="001E4AEB">
    <w:pPr>
      <w:pStyle w:val="Encabezado"/>
    </w:pPr>
    <w:r w:rsidRPr="001E4AEB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4C084520" wp14:editId="7450B869">
          <wp:simplePos x="0" y="0"/>
          <wp:positionH relativeFrom="column">
            <wp:posOffset>-959485</wp:posOffset>
          </wp:positionH>
          <wp:positionV relativeFrom="paragraph">
            <wp:posOffset>13970</wp:posOffset>
          </wp:positionV>
          <wp:extent cx="945515" cy="778510"/>
          <wp:effectExtent l="19050" t="19050" r="26035" b="2159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cante Port E muelle o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34" b="-3705"/>
                  <a:stretch/>
                </pic:blipFill>
                <pic:spPr bwMode="auto">
                  <a:xfrm>
                    <a:off x="0" y="0"/>
                    <a:ext cx="945515" cy="77851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7BF818A" wp14:editId="68D96C76">
          <wp:simplePos x="0" y="0"/>
          <wp:positionH relativeFrom="column">
            <wp:posOffset>-1378585</wp:posOffset>
          </wp:positionH>
          <wp:positionV relativeFrom="paragraph">
            <wp:posOffset>92710</wp:posOffset>
          </wp:positionV>
          <wp:extent cx="6823710" cy="802640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8" t="3076" r="-634" b="58058"/>
                  <a:stretch/>
                </pic:blipFill>
                <pic:spPr bwMode="auto">
                  <a:xfrm>
                    <a:off x="0" y="0"/>
                    <a:ext cx="682371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22E931" wp14:editId="6E590671">
              <wp:simplePos x="0" y="0"/>
              <wp:positionH relativeFrom="column">
                <wp:posOffset>-1162897</wp:posOffset>
              </wp:positionH>
              <wp:positionV relativeFrom="paragraph">
                <wp:posOffset>2223770</wp:posOffset>
              </wp:positionV>
              <wp:extent cx="1143000" cy="577405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7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81C9A" w14:textId="77777777" w:rsidR="001E4AEB" w:rsidRPr="007F618F" w:rsidRDefault="001E4AEB" w:rsidP="001E4AEB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</w:pPr>
                          <w:r w:rsidRPr="007F618F"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2E9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91.55pt;margin-top:175.1pt;width:90pt;height:4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" filled="f" stroked="f">
              <v:textbox style="layout-flow:vertical;mso-layout-flow-alt:bottom-to-top">
                <w:txbxContent>
                  <w:p w14:paraId="3C081C9A" w14:textId="77777777" w:rsidR="001E4AEB" w:rsidRPr="007F618F" w:rsidRDefault="001E4AEB" w:rsidP="001E4AEB">
                    <w:pPr>
                      <w:jc w:val="right"/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</w:pPr>
                    <w:r w:rsidRPr="007F618F"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99C8" w14:textId="77777777" w:rsidR="001E4AEB" w:rsidRDefault="001E4AEB">
    <w:pPr>
      <w:pStyle w:val="Encabezado"/>
    </w:pPr>
    <w:r w:rsidRPr="001E4A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910D0" wp14:editId="3BE6EDD4">
              <wp:simplePos x="0" y="0"/>
              <wp:positionH relativeFrom="column">
                <wp:posOffset>-1217295</wp:posOffset>
              </wp:positionH>
              <wp:positionV relativeFrom="paragraph">
                <wp:posOffset>2402840</wp:posOffset>
              </wp:positionV>
              <wp:extent cx="1143000" cy="577405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7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94D31" w14:textId="77777777" w:rsidR="001E4AEB" w:rsidRPr="007F618F" w:rsidRDefault="001E4AEB" w:rsidP="001E4AEB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</w:pPr>
                          <w:r w:rsidRPr="007F618F"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910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5.85pt;margin-top:189.2pt;width:90pt;height:4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" filled="f" stroked="f">
              <v:textbox style="layout-flow:vertical;mso-layout-flow-alt:bottom-to-top">
                <w:txbxContent>
                  <w:p w14:paraId="4EC94D31" w14:textId="77777777" w:rsidR="001E4AEB" w:rsidRPr="007F618F" w:rsidRDefault="001E4AEB" w:rsidP="001E4AEB">
                    <w:pPr>
                      <w:jc w:val="right"/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</w:pPr>
                    <w:r w:rsidRPr="007F618F"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 w:rsidRPr="001E4AEB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53EB7EE" wp14:editId="7222FE19">
          <wp:simplePos x="0" y="0"/>
          <wp:positionH relativeFrom="column">
            <wp:posOffset>-1368425</wp:posOffset>
          </wp:positionH>
          <wp:positionV relativeFrom="paragraph">
            <wp:posOffset>263525</wp:posOffset>
          </wp:positionV>
          <wp:extent cx="6823710" cy="80264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8" t="3076" r="-634" b="58058"/>
                  <a:stretch/>
                </pic:blipFill>
                <pic:spPr bwMode="auto">
                  <a:xfrm>
                    <a:off x="0" y="0"/>
                    <a:ext cx="682371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37B00B7" wp14:editId="60D73B3A">
          <wp:simplePos x="0" y="0"/>
          <wp:positionH relativeFrom="column">
            <wp:posOffset>-945515</wp:posOffset>
          </wp:positionH>
          <wp:positionV relativeFrom="paragraph">
            <wp:posOffset>185420</wp:posOffset>
          </wp:positionV>
          <wp:extent cx="1583055" cy="1303655"/>
          <wp:effectExtent l="19050" t="19050" r="17145" b="1079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cante Port E muelle ok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34" b="-3705"/>
                  <a:stretch/>
                </pic:blipFill>
                <pic:spPr bwMode="auto">
                  <a:xfrm>
                    <a:off x="0" y="0"/>
                    <a:ext cx="1583055" cy="1303655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A7B82"/>
    <w:multiLevelType w:val="hybridMultilevel"/>
    <w:tmpl w:val="DCF43124"/>
    <w:lvl w:ilvl="0" w:tplc="6E621506">
      <w:start w:val="2"/>
      <w:numFmt w:val="bullet"/>
      <w:lvlText w:val="-"/>
      <w:lvlJc w:val="left"/>
      <w:pPr>
        <w:ind w:left="435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7FA0110"/>
    <w:multiLevelType w:val="hybridMultilevel"/>
    <w:tmpl w:val="DDFE1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639C0"/>
    <w:multiLevelType w:val="multilevel"/>
    <w:tmpl w:val="83B2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943992">
    <w:abstractNumId w:val="1"/>
  </w:num>
  <w:num w:numId="2" w16cid:durableId="1210991913">
    <w:abstractNumId w:val="2"/>
  </w:num>
  <w:num w:numId="3" w16cid:durableId="84058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EB"/>
    <w:rsid w:val="00000026"/>
    <w:rsid w:val="00000A6B"/>
    <w:rsid w:val="00021F4C"/>
    <w:rsid w:val="00033455"/>
    <w:rsid w:val="00037292"/>
    <w:rsid w:val="00044DC7"/>
    <w:rsid w:val="00050645"/>
    <w:rsid w:val="000A47E2"/>
    <w:rsid w:val="000C4770"/>
    <w:rsid w:val="000E0087"/>
    <w:rsid w:val="000E2CB9"/>
    <w:rsid w:val="000F6315"/>
    <w:rsid w:val="00101AE9"/>
    <w:rsid w:val="0010567E"/>
    <w:rsid w:val="00111691"/>
    <w:rsid w:val="001139F4"/>
    <w:rsid w:val="00117156"/>
    <w:rsid w:val="001264CF"/>
    <w:rsid w:val="00126727"/>
    <w:rsid w:val="00142AF4"/>
    <w:rsid w:val="0016333A"/>
    <w:rsid w:val="0016624A"/>
    <w:rsid w:val="001B75DD"/>
    <w:rsid w:val="001C0CF3"/>
    <w:rsid w:val="001C24B7"/>
    <w:rsid w:val="001D6E99"/>
    <w:rsid w:val="001E1B00"/>
    <w:rsid w:val="001E2B1E"/>
    <w:rsid w:val="001E4AEB"/>
    <w:rsid w:val="001E63E3"/>
    <w:rsid w:val="00225E1B"/>
    <w:rsid w:val="00232F35"/>
    <w:rsid w:val="002468EA"/>
    <w:rsid w:val="00256473"/>
    <w:rsid w:val="00263B31"/>
    <w:rsid w:val="00294A2A"/>
    <w:rsid w:val="00296FAA"/>
    <w:rsid w:val="002B0899"/>
    <w:rsid w:val="002B53CE"/>
    <w:rsid w:val="002B69E1"/>
    <w:rsid w:val="002C5441"/>
    <w:rsid w:val="002C6010"/>
    <w:rsid w:val="002E60CA"/>
    <w:rsid w:val="003111E0"/>
    <w:rsid w:val="003122AA"/>
    <w:rsid w:val="003247A3"/>
    <w:rsid w:val="00332BF5"/>
    <w:rsid w:val="003432C0"/>
    <w:rsid w:val="00344429"/>
    <w:rsid w:val="003455AA"/>
    <w:rsid w:val="00370499"/>
    <w:rsid w:val="00370D25"/>
    <w:rsid w:val="00371200"/>
    <w:rsid w:val="003734C3"/>
    <w:rsid w:val="003777FD"/>
    <w:rsid w:val="003A2D78"/>
    <w:rsid w:val="003B6AA8"/>
    <w:rsid w:val="003D3EB7"/>
    <w:rsid w:val="003D7BCA"/>
    <w:rsid w:val="003E0B78"/>
    <w:rsid w:val="003F5049"/>
    <w:rsid w:val="003F6304"/>
    <w:rsid w:val="00405EE5"/>
    <w:rsid w:val="00411609"/>
    <w:rsid w:val="0042392C"/>
    <w:rsid w:val="004338BD"/>
    <w:rsid w:val="00445CCC"/>
    <w:rsid w:val="00456EB5"/>
    <w:rsid w:val="00490438"/>
    <w:rsid w:val="00494BEF"/>
    <w:rsid w:val="004967E6"/>
    <w:rsid w:val="004B06D9"/>
    <w:rsid w:val="004B2073"/>
    <w:rsid w:val="004B23B2"/>
    <w:rsid w:val="004B7AFA"/>
    <w:rsid w:val="004C1AD0"/>
    <w:rsid w:val="004C5319"/>
    <w:rsid w:val="004C7DA2"/>
    <w:rsid w:val="004D1C3F"/>
    <w:rsid w:val="004F3D7E"/>
    <w:rsid w:val="004F3FDC"/>
    <w:rsid w:val="00501001"/>
    <w:rsid w:val="00520434"/>
    <w:rsid w:val="005230C6"/>
    <w:rsid w:val="005231F7"/>
    <w:rsid w:val="005253BB"/>
    <w:rsid w:val="00525940"/>
    <w:rsid w:val="005269FC"/>
    <w:rsid w:val="00536F10"/>
    <w:rsid w:val="005531CA"/>
    <w:rsid w:val="00554137"/>
    <w:rsid w:val="005564CC"/>
    <w:rsid w:val="00557025"/>
    <w:rsid w:val="00573804"/>
    <w:rsid w:val="0057385F"/>
    <w:rsid w:val="00582BD6"/>
    <w:rsid w:val="00584C90"/>
    <w:rsid w:val="00587ADC"/>
    <w:rsid w:val="00597001"/>
    <w:rsid w:val="005A4A19"/>
    <w:rsid w:val="005A4D08"/>
    <w:rsid w:val="005B3885"/>
    <w:rsid w:val="005B4C47"/>
    <w:rsid w:val="005D24E7"/>
    <w:rsid w:val="005E6B78"/>
    <w:rsid w:val="005F2A89"/>
    <w:rsid w:val="005F36E1"/>
    <w:rsid w:val="006071D7"/>
    <w:rsid w:val="00607ABA"/>
    <w:rsid w:val="00612EA3"/>
    <w:rsid w:val="006148D8"/>
    <w:rsid w:val="00622DF3"/>
    <w:rsid w:val="00623E0B"/>
    <w:rsid w:val="00637AF1"/>
    <w:rsid w:val="0067010E"/>
    <w:rsid w:val="0067611E"/>
    <w:rsid w:val="0069267E"/>
    <w:rsid w:val="00694D9C"/>
    <w:rsid w:val="00697978"/>
    <w:rsid w:val="006A5818"/>
    <w:rsid w:val="006B1F2D"/>
    <w:rsid w:val="006B628D"/>
    <w:rsid w:val="007104ED"/>
    <w:rsid w:val="00713BD3"/>
    <w:rsid w:val="00724F7A"/>
    <w:rsid w:val="00726A87"/>
    <w:rsid w:val="00737082"/>
    <w:rsid w:val="007453FF"/>
    <w:rsid w:val="0074705E"/>
    <w:rsid w:val="00760938"/>
    <w:rsid w:val="0076103E"/>
    <w:rsid w:val="007660E5"/>
    <w:rsid w:val="00772F47"/>
    <w:rsid w:val="007A1667"/>
    <w:rsid w:val="007A7C23"/>
    <w:rsid w:val="007C2882"/>
    <w:rsid w:val="007F36B4"/>
    <w:rsid w:val="007F605D"/>
    <w:rsid w:val="007F618F"/>
    <w:rsid w:val="007F79D5"/>
    <w:rsid w:val="00805F0C"/>
    <w:rsid w:val="008124A9"/>
    <w:rsid w:val="00832B15"/>
    <w:rsid w:val="00833AC9"/>
    <w:rsid w:val="008379A8"/>
    <w:rsid w:val="008417DE"/>
    <w:rsid w:val="00854787"/>
    <w:rsid w:val="00860224"/>
    <w:rsid w:val="00862C25"/>
    <w:rsid w:val="0086781B"/>
    <w:rsid w:val="00871CAC"/>
    <w:rsid w:val="008B0832"/>
    <w:rsid w:val="008D0F5D"/>
    <w:rsid w:val="008D2BC7"/>
    <w:rsid w:val="008D517A"/>
    <w:rsid w:val="008E3F04"/>
    <w:rsid w:val="008F76D4"/>
    <w:rsid w:val="00903DBD"/>
    <w:rsid w:val="00917A37"/>
    <w:rsid w:val="00934CFE"/>
    <w:rsid w:val="00940271"/>
    <w:rsid w:val="00941684"/>
    <w:rsid w:val="00953C16"/>
    <w:rsid w:val="00961012"/>
    <w:rsid w:val="009660CE"/>
    <w:rsid w:val="00976AD9"/>
    <w:rsid w:val="00985312"/>
    <w:rsid w:val="00985497"/>
    <w:rsid w:val="00987EA0"/>
    <w:rsid w:val="00990266"/>
    <w:rsid w:val="00990B11"/>
    <w:rsid w:val="00991414"/>
    <w:rsid w:val="00993843"/>
    <w:rsid w:val="009B0F29"/>
    <w:rsid w:val="009D22A9"/>
    <w:rsid w:val="009D2C38"/>
    <w:rsid w:val="009D6081"/>
    <w:rsid w:val="009D69C3"/>
    <w:rsid w:val="009E3FE1"/>
    <w:rsid w:val="009E5C5B"/>
    <w:rsid w:val="00A02E49"/>
    <w:rsid w:val="00A10B8E"/>
    <w:rsid w:val="00A1558F"/>
    <w:rsid w:val="00A17DD5"/>
    <w:rsid w:val="00A36B3B"/>
    <w:rsid w:val="00A448C5"/>
    <w:rsid w:val="00A5757D"/>
    <w:rsid w:val="00A66359"/>
    <w:rsid w:val="00A708A8"/>
    <w:rsid w:val="00A737F5"/>
    <w:rsid w:val="00A91033"/>
    <w:rsid w:val="00A9245F"/>
    <w:rsid w:val="00AA3E66"/>
    <w:rsid w:val="00AA46E9"/>
    <w:rsid w:val="00AB3874"/>
    <w:rsid w:val="00AB6EEE"/>
    <w:rsid w:val="00AB7C2E"/>
    <w:rsid w:val="00AC3285"/>
    <w:rsid w:val="00AD022C"/>
    <w:rsid w:val="00AD1DEF"/>
    <w:rsid w:val="00AD39D9"/>
    <w:rsid w:val="00AD5C4C"/>
    <w:rsid w:val="00AE4294"/>
    <w:rsid w:val="00AF272A"/>
    <w:rsid w:val="00B46C7E"/>
    <w:rsid w:val="00B63DBB"/>
    <w:rsid w:val="00B72530"/>
    <w:rsid w:val="00B7284D"/>
    <w:rsid w:val="00B77942"/>
    <w:rsid w:val="00B80352"/>
    <w:rsid w:val="00B80BB1"/>
    <w:rsid w:val="00B916AC"/>
    <w:rsid w:val="00BA0361"/>
    <w:rsid w:val="00BB0B2F"/>
    <w:rsid w:val="00BB24AF"/>
    <w:rsid w:val="00BB67DA"/>
    <w:rsid w:val="00BC1567"/>
    <w:rsid w:val="00BC3088"/>
    <w:rsid w:val="00BC4EA1"/>
    <w:rsid w:val="00BC7D91"/>
    <w:rsid w:val="00BE5513"/>
    <w:rsid w:val="00BE7CA5"/>
    <w:rsid w:val="00C0530F"/>
    <w:rsid w:val="00C11476"/>
    <w:rsid w:val="00C13CC0"/>
    <w:rsid w:val="00C15542"/>
    <w:rsid w:val="00C3433B"/>
    <w:rsid w:val="00C560C5"/>
    <w:rsid w:val="00C61B1C"/>
    <w:rsid w:val="00C90E9E"/>
    <w:rsid w:val="00CA10E0"/>
    <w:rsid w:val="00CB660E"/>
    <w:rsid w:val="00D10503"/>
    <w:rsid w:val="00D31330"/>
    <w:rsid w:val="00D3457C"/>
    <w:rsid w:val="00D42BA6"/>
    <w:rsid w:val="00D62885"/>
    <w:rsid w:val="00D71968"/>
    <w:rsid w:val="00D74918"/>
    <w:rsid w:val="00D771C7"/>
    <w:rsid w:val="00D90EE4"/>
    <w:rsid w:val="00D97C9F"/>
    <w:rsid w:val="00DA7A2A"/>
    <w:rsid w:val="00DB04E4"/>
    <w:rsid w:val="00DB1281"/>
    <w:rsid w:val="00DB2213"/>
    <w:rsid w:val="00DB542A"/>
    <w:rsid w:val="00DC44D9"/>
    <w:rsid w:val="00DD5AF2"/>
    <w:rsid w:val="00DE02D1"/>
    <w:rsid w:val="00DE67CF"/>
    <w:rsid w:val="00DF0455"/>
    <w:rsid w:val="00DF403D"/>
    <w:rsid w:val="00E01F23"/>
    <w:rsid w:val="00E029BF"/>
    <w:rsid w:val="00E06F51"/>
    <w:rsid w:val="00E15289"/>
    <w:rsid w:val="00E17E38"/>
    <w:rsid w:val="00E3598C"/>
    <w:rsid w:val="00E47FA9"/>
    <w:rsid w:val="00E502CD"/>
    <w:rsid w:val="00E53CBA"/>
    <w:rsid w:val="00E73A0D"/>
    <w:rsid w:val="00E73A2F"/>
    <w:rsid w:val="00E76495"/>
    <w:rsid w:val="00E83752"/>
    <w:rsid w:val="00E84777"/>
    <w:rsid w:val="00E876FB"/>
    <w:rsid w:val="00EA7F5B"/>
    <w:rsid w:val="00EB35A0"/>
    <w:rsid w:val="00EB7A53"/>
    <w:rsid w:val="00EB7C19"/>
    <w:rsid w:val="00EC3099"/>
    <w:rsid w:val="00ED3552"/>
    <w:rsid w:val="00ED487C"/>
    <w:rsid w:val="00EF0298"/>
    <w:rsid w:val="00EF55A6"/>
    <w:rsid w:val="00F10E01"/>
    <w:rsid w:val="00F23DB9"/>
    <w:rsid w:val="00F27688"/>
    <w:rsid w:val="00F33FC9"/>
    <w:rsid w:val="00F341BB"/>
    <w:rsid w:val="00F413DB"/>
    <w:rsid w:val="00F4458E"/>
    <w:rsid w:val="00F63E74"/>
    <w:rsid w:val="00F76F10"/>
    <w:rsid w:val="00F92924"/>
    <w:rsid w:val="00F94D37"/>
    <w:rsid w:val="00F967B7"/>
    <w:rsid w:val="00FA643A"/>
    <w:rsid w:val="00FB67D8"/>
    <w:rsid w:val="00FD6472"/>
    <w:rsid w:val="00FD7166"/>
    <w:rsid w:val="00FE4105"/>
    <w:rsid w:val="00FE6865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C4784"/>
  <w15:docId w15:val="{2AD7C9BD-052A-417C-B64D-E1F7958E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C9"/>
  </w:style>
  <w:style w:type="paragraph" w:styleId="Ttulo1">
    <w:name w:val="heading 1"/>
    <w:basedOn w:val="Normal"/>
    <w:next w:val="Normal"/>
    <w:link w:val="Ttulo1Car"/>
    <w:uiPriority w:val="9"/>
    <w:qFormat/>
    <w:rsid w:val="005F3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6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AEB"/>
  </w:style>
  <w:style w:type="paragraph" w:styleId="Piedepgina">
    <w:name w:val="footer"/>
    <w:basedOn w:val="Normal"/>
    <w:link w:val="PiedepginaCar"/>
    <w:uiPriority w:val="99"/>
    <w:unhideWhenUsed/>
    <w:rsid w:val="001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AEB"/>
  </w:style>
  <w:style w:type="paragraph" w:styleId="Textodeglobo">
    <w:name w:val="Balloon Text"/>
    <w:basedOn w:val="Normal"/>
    <w:link w:val="TextodegloboCar"/>
    <w:uiPriority w:val="99"/>
    <w:semiHidden/>
    <w:unhideWhenUsed/>
    <w:rsid w:val="001E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A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4A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708A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F3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72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27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6F10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6F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82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235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630">
          <w:marLeft w:val="0"/>
          <w:marRight w:val="0"/>
          <w:marTop w:val="300"/>
          <w:marBottom w:val="300"/>
          <w:divBdr>
            <w:top w:val="single" w:sz="48" w:space="15" w:color="DEDEDE"/>
            <w:left w:val="single" w:sz="12" w:space="15" w:color="DEDEDE"/>
            <w:bottom w:val="single" w:sz="48" w:space="15" w:color="DEDEDE"/>
            <w:right w:val="single" w:sz="12" w:space="15" w:color="DEDEDE"/>
          </w:divBdr>
          <w:divsChild>
            <w:div w:id="1284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4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914">
          <w:marLeft w:val="0"/>
          <w:marRight w:val="300"/>
          <w:marTop w:val="150"/>
          <w:marBottom w:val="150"/>
          <w:divBdr>
            <w:top w:val="single" w:sz="6" w:space="8" w:color="747474"/>
            <w:left w:val="single" w:sz="24" w:space="8" w:color="CCCCCC"/>
            <w:bottom w:val="none" w:sz="0" w:space="0" w:color="auto"/>
            <w:right w:val="none" w:sz="0" w:space="0" w:color="auto"/>
          </w:divBdr>
        </w:div>
        <w:div w:id="13886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995">
          <w:marLeft w:val="0"/>
          <w:marRight w:val="300"/>
          <w:marTop w:val="150"/>
          <w:marBottom w:val="150"/>
          <w:divBdr>
            <w:top w:val="single" w:sz="6" w:space="8" w:color="747474"/>
            <w:left w:val="single" w:sz="24" w:space="8" w:color="CCCCCC"/>
            <w:bottom w:val="none" w:sz="0" w:space="0" w:color="auto"/>
            <w:right w:val="none" w:sz="0" w:space="0" w:color="auto"/>
          </w:divBdr>
        </w:div>
        <w:div w:id="2131390539">
          <w:marLeft w:val="0"/>
          <w:marRight w:val="0"/>
          <w:marTop w:val="300"/>
          <w:marBottom w:val="300"/>
          <w:divBdr>
            <w:top w:val="single" w:sz="48" w:space="15" w:color="DEDEDE"/>
            <w:left w:val="single" w:sz="12" w:space="15" w:color="DEDEDE"/>
            <w:bottom w:val="single" w:sz="48" w:space="15" w:color="DEDEDE"/>
            <w:right w:val="single" w:sz="12" w:space="15" w:color="DEDEDE"/>
          </w:divBdr>
          <w:divsChild>
            <w:div w:id="13622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2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250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355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youtube.com/channel/UCcek3SvKRLWpUqhGnnlDF2Q" TargetMode="External"/><Relationship Id="rId12" Type="http://schemas.openxmlformats.org/officeDocument/2006/relationships/hyperlink" Target="https://www.linkedin.com/company/autoridad-portuaria-de-alicante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api.whatsapp.com/send?phone=34619603427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puertodealicant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twitter.com/PuertoAlicant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ertoalicante.com" TargetMode="External"/><Relationship Id="rId1" Type="http://schemas.openxmlformats.org/officeDocument/2006/relationships/hyperlink" Target="mailto:comunicacion@puertoalicant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ertoalicante.com" TargetMode="External"/><Relationship Id="rId1" Type="http://schemas.openxmlformats.org/officeDocument/2006/relationships/hyperlink" Target="mailto:comunicacion@puertoalicant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Hermoso Rodríguez</dc:creator>
  <cp:keywords/>
  <dc:description/>
  <cp:lastModifiedBy>Amaya Mollá Larrinaga</cp:lastModifiedBy>
  <cp:revision>5</cp:revision>
  <cp:lastPrinted>2025-02-04T11:44:00Z</cp:lastPrinted>
  <dcterms:created xsi:type="dcterms:W3CDTF">2025-02-07T12:58:00Z</dcterms:created>
  <dcterms:modified xsi:type="dcterms:W3CDTF">2025-02-07T13:58:00Z</dcterms:modified>
</cp:coreProperties>
</file>