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3967D6C9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074D" w14:textId="77777777" w:rsidR="00902C4C" w:rsidRPr="004338BD" w:rsidRDefault="00902C4C" w:rsidP="00902C4C">
      <w:pPr>
        <w:jc w:val="center"/>
        <w:rPr>
          <w:rFonts w:ascii="Arial Narrow" w:hAnsi="Arial Narrow"/>
          <w:sz w:val="32"/>
          <w:szCs w:val="28"/>
          <w:u w:val="single"/>
        </w:rPr>
      </w:pPr>
      <w:r w:rsidRPr="004338BD">
        <w:rPr>
          <w:rFonts w:ascii="Arial Narrow" w:hAnsi="Arial Narrow"/>
          <w:sz w:val="32"/>
          <w:szCs w:val="28"/>
          <w:u w:val="single"/>
        </w:rPr>
        <w:t>Autoridad Portuaria de Alicante</w:t>
      </w:r>
    </w:p>
    <w:p w14:paraId="72AF115A" w14:textId="77777777" w:rsidR="00902C4C" w:rsidRPr="004338BD" w:rsidRDefault="00902C4C" w:rsidP="00902C4C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El Puerto de Alicante lidera la categoría de ideas en la última convocatoria </w:t>
      </w:r>
      <w:proofErr w:type="spellStart"/>
      <w:r>
        <w:rPr>
          <w:rFonts w:ascii="Arial Narrow" w:hAnsi="Arial Narrow"/>
          <w:b/>
          <w:sz w:val="48"/>
        </w:rPr>
        <w:t>Ports</w:t>
      </w:r>
      <w:proofErr w:type="spellEnd"/>
      <w:r>
        <w:rPr>
          <w:rFonts w:ascii="Arial Narrow" w:hAnsi="Arial Narrow"/>
          <w:b/>
          <w:sz w:val="48"/>
        </w:rPr>
        <w:t xml:space="preserve"> 4.0 </w:t>
      </w:r>
    </w:p>
    <w:p w14:paraId="4139979E" w14:textId="77777777" w:rsidR="00902C4C" w:rsidRDefault="00902C4C" w:rsidP="00902C4C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 w:rsidRPr="00CC127A">
        <w:rPr>
          <w:rFonts w:ascii="Arial Narrow" w:hAnsi="Arial Narrow"/>
          <w:b/>
          <w:sz w:val="32"/>
          <w:szCs w:val="32"/>
        </w:rPr>
        <w:t>Alicante ocupa el primer lugar del conjunto de Puertos de interés general</w:t>
      </w:r>
      <w:r>
        <w:rPr>
          <w:rFonts w:ascii="Arial Narrow" w:hAnsi="Arial Narrow"/>
          <w:b/>
          <w:sz w:val="32"/>
          <w:szCs w:val="32"/>
        </w:rPr>
        <w:t>,</w:t>
      </w:r>
      <w:r w:rsidRPr="00CC127A">
        <w:rPr>
          <w:rFonts w:ascii="Arial Narrow" w:hAnsi="Arial Narrow"/>
          <w:b/>
          <w:sz w:val="32"/>
          <w:szCs w:val="32"/>
        </w:rPr>
        <w:t xml:space="preserve"> por número y calidad de ideas aprobadas</w:t>
      </w:r>
      <w:r>
        <w:rPr>
          <w:rFonts w:ascii="Arial Narrow" w:hAnsi="Arial Narrow"/>
          <w:b/>
          <w:sz w:val="32"/>
          <w:szCs w:val="32"/>
        </w:rPr>
        <w:t>,</w:t>
      </w:r>
      <w:r w:rsidRPr="00CC127A">
        <w:rPr>
          <w:rFonts w:ascii="Arial Narrow" w:hAnsi="Arial Narrow"/>
          <w:b/>
          <w:sz w:val="32"/>
          <w:szCs w:val="32"/>
        </w:rPr>
        <w:t xml:space="preserve"> en la última convocatoria del fondo </w:t>
      </w:r>
      <w:proofErr w:type="spellStart"/>
      <w:r w:rsidRPr="00CC127A">
        <w:rPr>
          <w:rFonts w:ascii="Arial Narrow" w:hAnsi="Arial Narrow"/>
          <w:b/>
          <w:sz w:val="32"/>
          <w:szCs w:val="32"/>
        </w:rPr>
        <w:t>Ports</w:t>
      </w:r>
      <w:proofErr w:type="spellEnd"/>
      <w:r w:rsidRPr="00CC127A">
        <w:rPr>
          <w:rFonts w:ascii="Arial Narrow" w:hAnsi="Arial Narrow"/>
          <w:b/>
          <w:sz w:val="32"/>
          <w:szCs w:val="32"/>
        </w:rPr>
        <w:t xml:space="preserve"> 4.0</w:t>
      </w:r>
      <w:r>
        <w:rPr>
          <w:rFonts w:ascii="Arial Narrow" w:hAnsi="Arial Narrow"/>
          <w:b/>
          <w:sz w:val="32"/>
          <w:szCs w:val="32"/>
        </w:rPr>
        <w:t xml:space="preserve"> resuelta por Puertos del Estado</w:t>
      </w:r>
    </w:p>
    <w:p w14:paraId="597A4DDB" w14:textId="77777777" w:rsidR="00902C4C" w:rsidRPr="0076211E" w:rsidRDefault="00902C4C" w:rsidP="00902C4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Una</w:t>
      </w:r>
      <w:r w:rsidRPr="0076211E">
        <w:rPr>
          <w:rFonts w:ascii="Arial Narrow" w:hAnsi="Arial Narrow"/>
          <w:b/>
          <w:sz w:val="32"/>
          <w:szCs w:val="32"/>
        </w:rPr>
        <w:t xml:space="preserve"> de cada cuatro ideas aprobadas, </w:t>
      </w:r>
      <w:r>
        <w:rPr>
          <w:rFonts w:ascii="Arial Narrow" w:hAnsi="Arial Narrow"/>
          <w:b/>
          <w:sz w:val="32"/>
          <w:szCs w:val="32"/>
        </w:rPr>
        <w:t>en</w:t>
      </w:r>
      <w:r w:rsidRPr="0076211E">
        <w:rPr>
          <w:rFonts w:ascii="Arial Narrow" w:hAnsi="Arial Narrow"/>
          <w:b/>
          <w:sz w:val="32"/>
          <w:szCs w:val="32"/>
        </w:rPr>
        <w:t xml:space="preserve"> el conjunto de las 28 Autoridades Portuarias, </w:t>
      </w:r>
      <w:r>
        <w:rPr>
          <w:rFonts w:ascii="Arial Narrow" w:hAnsi="Arial Narrow"/>
          <w:b/>
          <w:sz w:val="32"/>
          <w:szCs w:val="32"/>
        </w:rPr>
        <w:t>cuenta</w:t>
      </w:r>
      <w:r w:rsidRPr="0076211E">
        <w:rPr>
          <w:rFonts w:ascii="Arial Narrow" w:hAnsi="Arial Narrow"/>
          <w:b/>
          <w:sz w:val="32"/>
          <w:szCs w:val="32"/>
        </w:rPr>
        <w:t xml:space="preserve"> con el apoyo de la Autoridad Portuaria de Alicante</w:t>
      </w:r>
    </w:p>
    <w:p w14:paraId="4409B302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Alicante – 11/julio/2022.-</w:t>
      </w:r>
      <w:r>
        <w:rPr>
          <w:rFonts w:ascii="Arial Narrow" w:hAnsi="Arial Narrow"/>
          <w:sz w:val="28"/>
          <w:szCs w:val="28"/>
        </w:rPr>
        <w:t xml:space="preserve">  El Comité de </w:t>
      </w:r>
      <w:r w:rsidRPr="00B41D42">
        <w:rPr>
          <w:rFonts w:ascii="Arial Narrow" w:hAnsi="Arial Narrow"/>
          <w:sz w:val="28"/>
          <w:szCs w:val="28"/>
        </w:rPr>
        <w:t>Distribución del Fondo de Compensación</w:t>
      </w:r>
      <w:r>
        <w:rPr>
          <w:rFonts w:ascii="Arial Narrow" w:hAnsi="Arial Narrow"/>
          <w:sz w:val="28"/>
          <w:szCs w:val="28"/>
        </w:rPr>
        <w:t xml:space="preserve"> de Puertos del Estado,</w:t>
      </w:r>
      <w:r w:rsidRPr="00B41D42">
        <w:rPr>
          <w:rFonts w:ascii="Arial Narrow" w:hAnsi="Arial Narrow"/>
          <w:sz w:val="28"/>
          <w:szCs w:val="28"/>
        </w:rPr>
        <w:t xml:space="preserve"> integrado por los Presidentes y Directores de las 28 Autoridades Portuarias de interés general, </w:t>
      </w:r>
      <w:r>
        <w:rPr>
          <w:rFonts w:ascii="Arial Narrow" w:hAnsi="Arial Narrow"/>
          <w:sz w:val="28"/>
          <w:szCs w:val="28"/>
        </w:rPr>
        <w:t xml:space="preserve">ha aprobado una subvención global de 450 mil euros, que se destinarán a las ideas presentadas en la última convocatoria en la categoría de ideas del fondo </w:t>
      </w:r>
      <w:proofErr w:type="spellStart"/>
      <w:r>
        <w:rPr>
          <w:rFonts w:ascii="Arial Narrow" w:hAnsi="Arial Narrow"/>
          <w:sz w:val="28"/>
          <w:szCs w:val="28"/>
        </w:rPr>
        <w:t>Ports</w:t>
      </w:r>
      <w:proofErr w:type="spellEnd"/>
      <w:r>
        <w:rPr>
          <w:rFonts w:ascii="Arial Narrow" w:hAnsi="Arial Narrow"/>
          <w:sz w:val="28"/>
          <w:szCs w:val="28"/>
        </w:rPr>
        <w:t xml:space="preserve"> 4.0, el modelo de innovación abierta desarrollado por el organismo público, para atraer, apoyar y facilitar la aplicación del talento y el emprendimiento al sector logístico-portuario español.</w:t>
      </w:r>
    </w:p>
    <w:p w14:paraId="43253582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 las 59 candidaturas presentadas, en toda España, se han aprobado un total de 30, de las cuales </w:t>
      </w:r>
      <w:r w:rsidRPr="00B41D42">
        <w:rPr>
          <w:rFonts w:ascii="Arial Narrow" w:hAnsi="Arial Narrow"/>
          <w:sz w:val="28"/>
          <w:szCs w:val="28"/>
        </w:rPr>
        <w:t xml:space="preserve">27 ideas </w:t>
      </w:r>
      <w:r>
        <w:rPr>
          <w:rFonts w:ascii="Arial Narrow" w:hAnsi="Arial Narrow"/>
          <w:sz w:val="28"/>
          <w:szCs w:val="28"/>
        </w:rPr>
        <w:t>pertenecen a</w:t>
      </w:r>
      <w:r w:rsidRPr="00B41D42">
        <w:rPr>
          <w:rFonts w:ascii="Arial Narrow" w:hAnsi="Arial Narrow"/>
          <w:sz w:val="28"/>
          <w:szCs w:val="28"/>
        </w:rPr>
        <w:t xml:space="preserve"> la categoría general</w:t>
      </w:r>
      <w:r>
        <w:rPr>
          <w:rFonts w:ascii="Arial Narrow" w:hAnsi="Arial Narrow"/>
          <w:sz w:val="28"/>
          <w:szCs w:val="28"/>
        </w:rPr>
        <w:t>,</w:t>
      </w:r>
      <w:r w:rsidRPr="00B41D42">
        <w:rPr>
          <w:rFonts w:ascii="Arial Narrow" w:hAnsi="Arial Narrow"/>
          <w:sz w:val="28"/>
          <w:szCs w:val="28"/>
        </w:rPr>
        <w:t xml:space="preserve"> y 3 </w:t>
      </w:r>
      <w:r>
        <w:rPr>
          <w:rFonts w:ascii="Arial Narrow" w:hAnsi="Arial Narrow"/>
          <w:sz w:val="28"/>
          <w:szCs w:val="28"/>
        </w:rPr>
        <w:t>a</w:t>
      </w:r>
      <w:r w:rsidRPr="00B41D42">
        <w:rPr>
          <w:rFonts w:ascii="Arial Narrow" w:hAnsi="Arial Narrow"/>
          <w:sz w:val="28"/>
          <w:szCs w:val="28"/>
        </w:rPr>
        <w:t xml:space="preserve"> la categoría de </w:t>
      </w:r>
      <w:proofErr w:type="spellStart"/>
      <w:r w:rsidRPr="00B41D42">
        <w:rPr>
          <w:rFonts w:ascii="Arial Narrow" w:hAnsi="Arial Narrow"/>
          <w:sz w:val="28"/>
          <w:szCs w:val="28"/>
        </w:rPr>
        <w:t>intra-emprendimiento</w:t>
      </w:r>
      <w:proofErr w:type="spellEnd"/>
      <w:r>
        <w:rPr>
          <w:rFonts w:ascii="Arial Narrow" w:hAnsi="Arial Narrow"/>
          <w:sz w:val="28"/>
          <w:szCs w:val="28"/>
        </w:rPr>
        <w:t xml:space="preserve">. En esta convocatoria, la participación de la Autoridad Portuaria de Alicante ha sido muy significativa: si en la anterior convocatoria solo se presentaba un proyecto, en la actual se han apoyado 9 proyectos, </w:t>
      </w:r>
      <w:r w:rsidRPr="00517C38">
        <w:rPr>
          <w:rFonts w:ascii="Arial Narrow" w:hAnsi="Arial Narrow"/>
          <w:sz w:val="28"/>
          <w:szCs w:val="28"/>
        </w:rPr>
        <w:t xml:space="preserve">fruto de la movilización de los investigadores y spin off universitarias, </w:t>
      </w:r>
      <w:r>
        <w:rPr>
          <w:rFonts w:ascii="Arial Narrow" w:hAnsi="Arial Narrow"/>
          <w:sz w:val="28"/>
          <w:szCs w:val="28"/>
        </w:rPr>
        <w:t xml:space="preserve">en colaboración con las </w:t>
      </w:r>
      <w:r>
        <w:rPr>
          <w:rFonts w:ascii="Arial Narrow" w:hAnsi="Arial Narrow"/>
          <w:sz w:val="28"/>
          <w:szCs w:val="28"/>
        </w:rPr>
        <w:lastRenderedPageBreak/>
        <w:t xml:space="preserve">Universidades públicas de la provincia gracias a </w:t>
      </w:r>
      <w:r w:rsidRPr="00517C38">
        <w:rPr>
          <w:rFonts w:ascii="Arial Narrow" w:hAnsi="Arial Narrow"/>
          <w:sz w:val="28"/>
          <w:szCs w:val="28"/>
        </w:rPr>
        <w:t>los convenios suscritos por la Autoridad Portuaria de Alicante en julio de 2021.</w:t>
      </w:r>
    </w:p>
    <w:p w14:paraId="058297A5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 los 9 proyectos avalados por el puerto alicantino, el Comité ha seleccionado 7, resultando ser la Autoridad Portuaria</w:t>
      </w:r>
      <w:r w:rsidRPr="00517C38">
        <w:t xml:space="preserve"> </w:t>
      </w:r>
      <w:r w:rsidRPr="00517C38">
        <w:rPr>
          <w:rFonts w:ascii="Arial Narrow" w:hAnsi="Arial Narrow"/>
          <w:sz w:val="28"/>
          <w:szCs w:val="28"/>
        </w:rPr>
        <w:t xml:space="preserve">más activa del </w:t>
      </w:r>
      <w:r>
        <w:rPr>
          <w:rFonts w:ascii="Arial Narrow" w:hAnsi="Arial Narrow"/>
          <w:sz w:val="28"/>
          <w:szCs w:val="28"/>
        </w:rPr>
        <w:t>sistema portuario estatal</w:t>
      </w:r>
      <w:r w:rsidRPr="00517C38">
        <w:rPr>
          <w:rFonts w:ascii="Arial Narrow" w:hAnsi="Arial Narrow"/>
          <w:sz w:val="28"/>
          <w:szCs w:val="28"/>
        </w:rPr>
        <w:t xml:space="preserve"> en la modalidad general de ideas</w:t>
      </w:r>
      <w:r>
        <w:rPr>
          <w:rFonts w:ascii="Arial Narrow" w:hAnsi="Arial Narrow"/>
          <w:sz w:val="28"/>
          <w:szCs w:val="28"/>
        </w:rPr>
        <w:t>, y es que una de cada cuatro ideas aprobadas, para el conjunto de las 28 Autoridades Portuarias, cuenta con el apoyo de Alicante.</w:t>
      </w:r>
    </w:p>
    <w:p w14:paraId="7E003921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Entre las propuestas seleccionadas, se encuentra el de “Generación de arrecifes artificiales inducidos por electrólisis”, </w:t>
      </w:r>
      <w:r w:rsidRPr="00B75DC1">
        <w:rPr>
          <w:rFonts w:ascii="Arial Narrow" w:hAnsi="Arial Narrow"/>
          <w:sz w:val="28"/>
          <w:szCs w:val="28"/>
        </w:rPr>
        <w:t>que lleva desarrollando varios años la Universidad de Alicante</w:t>
      </w:r>
      <w:r>
        <w:rPr>
          <w:rFonts w:ascii="Arial Narrow" w:hAnsi="Arial Narrow"/>
          <w:sz w:val="28"/>
          <w:szCs w:val="28"/>
        </w:rPr>
        <w:t xml:space="preserve"> en los muelles alicantinos</w:t>
      </w:r>
      <w:r w:rsidRPr="00B75DC1">
        <w:rPr>
          <w:rFonts w:ascii="Arial Narrow" w:hAnsi="Arial Narrow"/>
          <w:sz w:val="28"/>
          <w:szCs w:val="28"/>
        </w:rPr>
        <w:t>, en colaboración con el puerto.</w:t>
      </w:r>
    </w:p>
    <w:p w14:paraId="699C9CEC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 su parte, la Universidad Miguel Hernández apoya</w:t>
      </w:r>
      <w:r w:rsidRPr="009E1B71">
        <w:rPr>
          <w:rFonts w:ascii="Arial Narrow" w:hAnsi="Arial Narrow"/>
          <w:sz w:val="28"/>
          <w:szCs w:val="28"/>
        </w:rPr>
        <w:t xml:space="preserve"> otras dos ideas: “CRANC</w:t>
      </w:r>
      <w:r>
        <w:rPr>
          <w:rFonts w:ascii="Arial Narrow" w:hAnsi="Arial Narrow"/>
          <w:sz w:val="28"/>
          <w:szCs w:val="28"/>
        </w:rPr>
        <w:t>” sobre el control de contaminantes en zonas portuarias en tiempo real mediante malla activa de robots y “SAVEHEAT” de u</w:t>
      </w:r>
      <w:r w:rsidRPr="006D1047">
        <w:rPr>
          <w:rFonts w:ascii="Arial Narrow" w:hAnsi="Arial Narrow"/>
          <w:sz w:val="28"/>
          <w:szCs w:val="28"/>
        </w:rPr>
        <w:t xml:space="preserve">so de hormigones </w:t>
      </w:r>
      <w:proofErr w:type="spellStart"/>
      <w:r w:rsidRPr="006D1047">
        <w:rPr>
          <w:rFonts w:ascii="Arial Narrow" w:hAnsi="Arial Narrow"/>
          <w:sz w:val="28"/>
          <w:szCs w:val="28"/>
        </w:rPr>
        <w:t>geopoliméricos</w:t>
      </w:r>
      <w:proofErr w:type="spellEnd"/>
      <w:r w:rsidRPr="006D1047">
        <w:rPr>
          <w:rFonts w:ascii="Arial Narrow" w:hAnsi="Arial Narrow"/>
          <w:sz w:val="28"/>
          <w:szCs w:val="28"/>
        </w:rPr>
        <w:t xml:space="preserve"> para conformar elementos de la infraestructura del puerto</w:t>
      </w:r>
      <w:r>
        <w:rPr>
          <w:rFonts w:ascii="Arial Narrow" w:hAnsi="Arial Narrow"/>
          <w:sz w:val="28"/>
          <w:szCs w:val="28"/>
        </w:rPr>
        <w:t xml:space="preserve">”. </w:t>
      </w:r>
    </w:p>
    <w:p w14:paraId="383D0657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</w:rPr>
      </w:pPr>
      <w:r w:rsidRPr="009E1B71">
        <w:rPr>
          <w:rFonts w:ascii="Arial Narrow" w:hAnsi="Arial Narrow"/>
          <w:sz w:val="28"/>
          <w:szCs w:val="28"/>
        </w:rPr>
        <w:t xml:space="preserve">Ambas universidades colaboran </w:t>
      </w:r>
      <w:r>
        <w:rPr>
          <w:rFonts w:ascii="Arial Narrow" w:hAnsi="Arial Narrow"/>
          <w:sz w:val="28"/>
          <w:szCs w:val="28"/>
        </w:rPr>
        <w:t xml:space="preserve">con </w:t>
      </w:r>
      <w:r w:rsidRPr="009E1B71">
        <w:rPr>
          <w:rFonts w:ascii="Arial Narrow" w:hAnsi="Arial Narrow"/>
          <w:sz w:val="28"/>
          <w:szCs w:val="28"/>
        </w:rPr>
        <w:t>el equipo de</w:t>
      </w:r>
      <w:r>
        <w:rPr>
          <w:rFonts w:ascii="Arial Narrow" w:hAnsi="Arial Narrow"/>
          <w:sz w:val="28"/>
          <w:szCs w:val="28"/>
        </w:rPr>
        <w:t xml:space="preserve"> </w:t>
      </w:r>
      <w:r w:rsidRPr="006D1047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HIDROSPOWER”, que plantean la generación a bordo de hidrógeno, en un dron marítimo para obtener autonomía infinita. </w:t>
      </w:r>
    </w:p>
    <w:p w14:paraId="18291412" w14:textId="77777777" w:rsidR="00902C4C" w:rsidRDefault="00902C4C" w:rsidP="00902C4C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265040">
        <w:rPr>
          <w:rFonts w:ascii="Arial Narrow" w:hAnsi="Arial Narrow"/>
          <w:sz w:val="28"/>
          <w:szCs w:val="28"/>
          <w:lang w:val="es-ES_tradnl"/>
        </w:rPr>
        <w:t>La próxima inauguración de la sede permanente del laboratorio de innovación</w:t>
      </w:r>
      <w:r>
        <w:rPr>
          <w:rFonts w:ascii="Arial Narrow" w:hAnsi="Arial Narrow"/>
          <w:sz w:val="28"/>
          <w:szCs w:val="28"/>
          <w:lang w:val="es-ES_tradnl"/>
        </w:rPr>
        <w:t>,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abierto y sostenible</w:t>
      </w:r>
      <w:r>
        <w:rPr>
          <w:rFonts w:ascii="Arial Narrow" w:hAnsi="Arial Narrow"/>
          <w:sz w:val="28"/>
          <w:szCs w:val="28"/>
          <w:lang w:val="es-ES_tradnl"/>
        </w:rPr>
        <w:t>,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</w:t>
      </w:r>
      <w:r>
        <w:rPr>
          <w:rFonts w:ascii="Arial Narrow" w:hAnsi="Arial Narrow"/>
          <w:sz w:val="28"/>
          <w:szCs w:val="28"/>
          <w:lang w:val="es-ES_tradnl"/>
        </w:rPr>
        <w:t>de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la Autoridad Portuaria de Alicante</w:t>
      </w:r>
      <w:r>
        <w:rPr>
          <w:rFonts w:ascii="Arial Narrow" w:hAnsi="Arial Narrow"/>
          <w:sz w:val="28"/>
          <w:szCs w:val="28"/>
          <w:lang w:val="es-ES_tradnl"/>
        </w:rPr>
        <w:t xml:space="preserve">, prevista </w:t>
      </w:r>
      <w:r w:rsidRPr="00265040">
        <w:rPr>
          <w:rFonts w:ascii="Arial Narrow" w:hAnsi="Arial Narrow"/>
          <w:sz w:val="28"/>
          <w:szCs w:val="28"/>
          <w:lang w:val="es-ES_tradnl"/>
        </w:rPr>
        <w:t>en septiembre</w:t>
      </w:r>
      <w:r>
        <w:rPr>
          <w:rFonts w:ascii="Arial Narrow" w:hAnsi="Arial Narrow"/>
          <w:sz w:val="28"/>
          <w:szCs w:val="28"/>
          <w:lang w:val="es-ES_tradnl"/>
        </w:rPr>
        <w:t>,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constituirá la ocasión de poner en valor </w:t>
      </w:r>
      <w:r>
        <w:rPr>
          <w:rFonts w:ascii="Arial Narrow" w:hAnsi="Arial Narrow"/>
          <w:sz w:val="28"/>
          <w:szCs w:val="28"/>
          <w:lang w:val="es-ES_tradnl"/>
        </w:rPr>
        <w:t xml:space="preserve">el conjunto de 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las </w:t>
      </w:r>
      <w:r>
        <w:rPr>
          <w:rFonts w:ascii="Arial Narrow" w:hAnsi="Arial Narrow"/>
          <w:sz w:val="28"/>
          <w:szCs w:val="28"/>
          <w:lang w:val="es-ES_tradnl"/>
        </w:rPr>
        <w:t xml:space="preserve">7 </w:t>
      </w:r>
      <w:r w:rsidRPr="00265040">
        <w:rPr>
          <w:rFonts w:ascii="Arial Narrow" w:hAnsi="Arial Narrow"/>
          <w:sz w:val="28"/>
          <w:szCs w:val="28"/>
          <w:lang w:val="es-ES_tradnl"/>
        </w:rPr>
        <w:t>ideas aprobadas</w:t>
      </w:r>
      <w:r>
        <w:rPr>
          <w:rFonts w:ascii="Arial Narrow" w:hAnsi="Arial Narrow"/>
          <w:sz w:val="28"/>
          <w:szCs w:val="28"/>
          <w:lang w:val="es-ES_tradnl"/>
        </w:rPr>
        <w:t>,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animando </w:t>
      </w:r>
      <w:r>
        <w:rPr>
          <w:rFonts w:ascii="Arial Narrow" w:hAnsi="Arial Narrow"/>
          <w:sz w:val="28"/>
          <w:szCs w:val="28"/>
          <w:lang w:val="es-ES_tradnl"/>
        </w:rPr>
        <w:t>así a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 todos los agentes a interesarse por las </w:t>
      </w:r>
      <w:r>
        <w:rPr>
          <w:rFonts w:ascii="Arial Narrow" w:hAnsi="Arial Narrow"/>
          <w:sz w:val="28"/>
          <w:szCs w:val="28"/>
          <w:lang w:val="es-ES_tradnl"/>
        </w:rPr>
        <w:t xml:space="preserve">nuevas </w:t>
      </w:r>
      <w:r w:rsidRPr="00265040">
        <w:rPr>
          <w:rFonts w:ascii="Arial Narrow" w:hAnsi="Arial Narrow"/>
          <w:sz w:val="28"/>
          <w:szCs w:val="28"/>
          <w:lang w:val="es-ES_tradnl"/>
        </w:rPr>
        <w:t xml:space="preserve">convocatorias </w:t>
      </w:r>
      <w:proofErr w:type="spellStart"/>
      <w:r w:rsidRPr="00265040">
        <w:rPr>
          <w:rFonts w:ascii="Arial Narrow" w:hAnsi="Arial Narrow"/>
          <w:sz w:val="28"/>
          <w:szCs w:val="28"/>
          <w:lang w:val="es-ES_tradnl"/>
        </w:rPr>
        <w:t>Ports</w:t>
      </w:r>
      <w:proofErr w:type="spellEnd"/>
      <w:r w:rsidRPr="00265040">
        <w:rPr>
          <w:rFonts w:ascii="Arial Narrow" w:hAnsi="Arial Narrow"/>
          <w:sz w:val="28"/>
          <w:szCs w:val="28"/>
          <w:lang w:val="es-ES_tradnl"/>
        </w:rPr>
        <w:t xml:space="preserve"> 4.0 que Puertos del Estado publicará en la segunda mitad de año.</w:t>
      </w:r>
    </w:p>
    <w:p w14:paraId="260D67AC" w14:textId="2DE6D703" w:rsidR="003122AA" w:rsidRDefault="001637CE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 wp14:anchorId="7065000D" wp14:editId="7F7C7E3A">
            <wp:extent cx="4768215" cy="25914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49E3" w14:textId="0102D609" w:rsidR="001637CE" w:rsidRPr="001637CE" w:rsidRDefault="001637CE" w:rsidP="00F10E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la terminal de graneles se está aplicando uno de los proyectos de innovación apoyados por el puerto en la primera convocatoria de </w:t>
      </w:r>
      <w:proofErr w:type="spellStart"/>
      <w:r>
        <w:rPr>
          <w:rFonts w:ascii="Arial Narrow" w:hAnsi="Arial Narrow"/>
        </w:rPr>
        <w:t>Ports</w:t>
      </w:r>
      <w:proofErr w:type="spellEnd"/>
      <w:r>
        <w:rPr>
          <w:rFonts w:ascii="Arial Narrow" w:hAnsi="Arial Narrow"/>
        </w:rPr>
        <w:t xml:space="preserve"> 4.0</w:t>
      </w:r>
    </w:p>
    <w:sectPr w:rsidR="001637CE" w:rsidRPr="001637CE" w:rsidSect="0099141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196C" w14:textId="77777777" w:rsidR="00445CCC" w:rsidRDefault="00445CCC" w:rsidP="001E4AEB">
      <w:pPr>
        <w:spacing w:after="0" w:line="240" w:lineRule="auto"/>
      </w:pPr>
      <w:r>
        <w:separator/>
      </w:r>
    </w:p>
  </w:endnote>
  <w:endnote w:type="continuationSeparator" w:id="0">
    <w:p w14:paraId="0D349802" w14:textId="77777777" w:rsidR="00445CCC" w:rsidRDefault="00445CCC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77777777" w:rsidR="00941684" w:rsidRPr="00AF272A" w:rsidRDefault="00941684" w:rsidP="00941684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Pr="00AF272A">
            <w:rPr>
              <w:sz w:val="16"/>
              <w:lang w:val="fr-FR"/>
            </w:rPr>
            <w:t>, 03001 Alicante (Spain) | T 965 130 095 |</w:t>
          </w:r>
          <w:r>
            <w:rPr>
              <w:sz w:val="16"/>
              <w:lang w:val="fr-FR"/>
            </w:rPr>
            <w:t xml:space="preserve"> Mv 619 603 427</w:t>
          </w:r>
        </w:p>
        <w:p w14:paraId="2768D6D4" w14:textId="498617B9" w:rsidR="00F4458E" w:rsidRPr="00AF272A" w:rsidRDefault="001637CE" w:rsidP="00941684">
          <w:pPr>
            <w:pStyle w:val="Piedepgina"/>
            <w:jc w:val="center"/>
            <w:rPr>
              <w:lang w:val="fr-FR"/>
            </w:rPr>
          </w:pPr>
          <w:hyperlink r:id="rId1" w:history="1">
            <w:r w:rsidR="00941684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941684" w:rsidRPr="00AF272A">
            <w:rPr>
              <w:sz w:val="16"/>
              <w:lang w:val="fr-FR"/>
            </w:rPr>
            <w:t xml:space="preserve"> | </w:t>
          </w:r>
          <w:hyperlink r:id="rId2" w:history="1">
            <w:r w:rsidR="00941684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F272A" w:rsidRDefault="004B2073" w:rsidP="00F4458E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="00A708A8" w:rsidRPr="00AF272A">
            <w:rPr>
              <w:sz w:val="16"/>
              <w:lang w:val="fr-FR"/>
            </w:rPr>
            <w:t>, 03001 Alicante (Spain)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708A8" w:rsidRPr="00AF272A">
            <w:rPr>
              <w:sz w:val="16"/>
              <w:lang w:val="fr-FR"/>
            </w:rPr>
            <w:t xml:space="preserve"> T 965 130 095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F272A">
            <w:rPr>
              <w:sz w:val="16"/>
              <w:lang w:val="fr-FR"/>
            </w:rPr>
            <w:t xml:space="preserve"> Mv 619 603 427</w:t>
          </w:r>
        </w:p>
        <w:p w14:paraId="16032C37" w14:textId="59EB6340" w:rsidR="00A708A8" w:rsidRPr="00AF272A" w:rsidRDefault="001637CE" w:rsidP="00F4458E">
          <w:pPr>
            <w:pStyle w:val="Piedepgina"/>
            <w:jc w:val="center"/>
            <w:rPr>
              <w:lang w:val="fr-FR"/>
            </w:rPr>
          </w:pPr>
          <w:hyperlink r:id="rId1" w:history="1">
            <w:r w:rsidR="00AF272A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F4458E" w:rsidRPr="00AF272A">
            <w:rPr>
              <w:sz w:val="16"/>
              <w:lang w:val="fr-FR"/>
            </w:rPr>
            <w:t xml:space="preserve"> | </w:t>
          </w:r>
          <w:hyperlink r:id="rId2" w:history="1">
            <w:r w:rsidR="00A708A8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5E0B" w14:textId="77777777" w:rsidR="00445CCC" w:rsidRDefault="00445CCC" w:rsidP="001E4AEB">
      <w:pPr>
        <w:spacing w:after="0" w:line="240" w:lineRule="auto"/>
      </w:pPr>
      <w:r>
        <w:separator/>
      </w:r>
    </w:p>
  </w:footnote>
  <w:footnote w:type="continuationSeparator" w:id="0">
    <w:p w14:paraId="25349F98" w14:textId="77777777" w:rsidR="00445CCC" w:rsidRDefault="00445CCC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B"/>
    <w:rsid w:val="00050645"/>
    <w:rsid w:val="00142AF4"/>
    <w:rsid w:val="001637CE"/>
    <w:rsid w:val="001E1B00"/>
    <w:rsid w:val="001E4AEB"/>
    <w:rsid w:val="00294A2A"/>
    <w:rsid w:val="003122AA"/>
    <w:rsid w:val="00332BF5"/>
    <w:rsid w:val="00371200"/>
    <w:rsid w:val="003C13E9"/>
    <w:rsid w:val="00405EE5"/>
    <w:rsid w:val="004338BD"/>
    <w:rsid w:val="00445CCC"/>
    <w:rsid w:val="004B2073"/>
    <w:rsid w:val="004B23B2"/>
    <w:rsid w:val="004C1AD0"/>
    <w:rsid w:val="00501001"/>
    <w:rsid w:val="005231F7"/>
    <w:rsid w:val="00554137"/>
    <w:rsid w:val="00573804"/>
    <w:rsid w:val="00597001"/>
    <w:rsid w:val="005F36E1"/>
    <w:rsid w:val="00694D9C"/>
    <w:rsid w:val="00724F7A"/>
    <w:rsid w:val="007A1667"/>
    <w:rsid w:val="007F605D"/>
    <w:rsid w:val="007F618F"/>
    <w:rsid w:val="00805F0C"/>
    <w:rsid w:val="00854787"/>
    <w:rsid w:val="008E3F04"/>
    <w:rsid w:val="00902C4C"/>
    <w:rsid w:val="00934CFE"/>
    <w:rsid w:val="00941684"/>
    <w:rsid w:val="00987EA0"/>
    <w:rsid w:val="00991414"/>
    <w:rsid w:val="00993843"/>
    <w:rsid w:val="009B0F29"/>
    <w:rsid w:val="00A10B8E"/>
    <w:rsid w:val="00A66359"/>
    <w:rsid w:val="00A708A8"/>
    <w:rsid w:val="00A737F5"/>
    <w:rsid w:val="00AC3285"/>
    <w:rsid w:val="00AD022C"/>
    <w:rsid w:val="00AF272A"/>
    <w:rsid w:val="00BB67DA"/>
    <w:rsid w:val="00C13CC0"/>
    <w:rsid w:val="00D31330"/>
    <w:rsid w:val="00D42BA6"/>
    <w:rsid w:val="00DF403D"/>
    <w:rsid w:val="00E3598C"/>
    <w:rsid w:val="00E83752"/>
    <w:rsid w:val="00E876FB"/>
    <w:rsid w:val="00ED3552"/>
    <w:rsid w:val="00F10E01"/>
    <w:rsid w:val="00F4458E"/>
    <w:rsid w:val="00F63E74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C1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Hermoso Rodríguez</dc:creator>
  <cp:lastModifiedBy>David Hermoso</cp:lastModifiedBy>
  <cp:revision>4</cp:revision>
  <cp:lastPrinted>2019-02-26T11:49:00Z</cp:lastPrinted>
  <dcterms:created xsi:type="dcterms:W3CDTF">2022-07-11T10:22:00Z</dcterms:created>
  <dcterms:modified xsi:type="dcterms:W3CDTF">2022-07-11T12:05:00Z</dcterms:modified>
</cp:coreProperties>
</file>